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两江新区</w:t>
      </w:r>
      <w:r>
        <w:rPr>
          <w:rFonts w:hint="eastAsia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人才发展集团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管理咨询业务项目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  <w:t>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  <w:t>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84"/>
          <w:szCs w:val="84"/>
          <w:lang w:val="en-US" w:eastAsia="zh-CN" w:bidi="ar-SA"/>
        </w:rPr>
        <w:t>案</w:t>
      </w:r>
    </w:p>
    <w:p>
      <w:pPr>
        <w:widowControl w:val="0"/>
        <w:spacing w:after="120"/>
        <w:jc w:val="both"/>
        <w:rPr>
          <w:rFonts w:hint="default" w:ascii="Times New Roman" w:hAnsi="Times New Roman" w:eastAsia="方正小标宋简体" w:cs="Times New Roman"/>
          <w:color w:val="auto"/>
          <w:spacing w:val="120"/>
          <w:kern w:val="2"/>
          <w:sz w:val="32"/>
          <w:szCs w:val="32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 w:val="0"/>
        <w:spacing w:after="120"/>
        <w:jc w:val="both"/>
        <w:rPr>
          <w:rFonts w:hint="default" w:ascii="Times New Roman" w:hAnsi="Times New Roman" w:eastAsia="方正小标宋简体" w:cs="Times New Roman"/>
          <w:color w:val="auto"/>
          <w:spacing w:val="120"/>
          <w:kern w:val="2"/>
          <w:sz w:val="32"/>
          <w:szCs w:val="32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600" w:lineRule="exact"/>
        <w:jc w:val="center"/>
        <w:rPr>
          <w:rFonts w:hint="eastAsia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重庆两江新区</w:t>
      </w:r>
      <w:r>
        <w:rPr>
          <w:rFonts w:hint="eastAsia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人才发展集团有限公司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pgSz w:w="11906" w:h="16838"/>
          <w:pgMar w:top="2154" w:right="1474" w:bottom="1871" w:left="1588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为更好地做好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两江新区人才发展集团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管理咨询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业务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项目，根据《重庆两江新区人力资源开发服务中心有限公司服务采购管理办法（试行）》的相关规定和要求，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公司将从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经济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技术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部分及商务部分三方面组织竞争性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邀请符合条件的供应商参与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本次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管理咨询业务项目服务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项目内容：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管理咨询项目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：</w:t>
      </w:r>
      <w:r>
        <w:rPr>
          <w:rFonts w:hint="eastAsia" w:eastAsia="方正仿宋_GBK" w:cs="Times New Roman"/>
          <w:color w:val="auto"/>
          <w:spacing w:val="-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服务人数：不少于</w:t>
      </w:r>
      <w:r>
        <w:rPr>
          <w:rFonts w:hint="eastAsia" w:eastAsia="方正仿宋_GBK" w:cs="Times New Roman"/>
          <w:color w:val="auto"/>
          <w:spacing w:val="-1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人的专家团队。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服务内容：提供企业管理咨询服务，通过资料分析</w:t>
      </w:r>
      <w:r>
        <w:rPr>
          <w:rFonts w:hint="eastAsia" w:eastAsia="方正仿宋_GBK" w:cs="Times New Roman"/>
          <w:color w:val="auto"/>
          <w:spacing w:val="-11"/>
          <w:sz w:val="32"/>
          <w:szCs w:val="32"/>
          <w:lang w:val="en-US" w:eastAsia="zh-CN"/>
        </w:rPr>
        <w:t>、深度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访谈等方式，协助两江新区人力资源公司开展合作单位</w:t>
      </w:r>
      <w:r>
        <w:rPr>
          <w:rFonts w:hint="eastAsia" w:eastAsia="方正仿宋_GBK" w:cs="Times New Roman"/>
          <w:color w:val="auto"/>
          <w:spacing w:val="-11"/>
          <w:sz w:val="32"/>
          <w:szCs w:val="32"/>
          <w:lang w:val="en-US" w:eastAsia="zh-CN"/>
        </w:rPr>
        <w:t>现状分析和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诊断调研，制定企业法人治理、人力资源管理体系和制度体系的</w:t>
      </w:r>
      <w:r>
        <w:rPr>
          <w:rFonts w:hint="eastAsia" w:eastAsia="方正仿宋_GBK" w:cs="Times New Roman"/>
          <w:color w:val="auto"/>
          <w:spacing w:val="-11"/>
          <w:sz w:val="32"/>
          <w:szCs w:val="32"/>
          <w:lang w:val="en-US" w:eastAsia="zh-CN"/>
        </w:rPr>
        <w:t>初步建议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最高总限价：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  <w:t>采购条件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（一）基本资格条件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1.具有独立承担民事责任的能力，持有有效营业执照，企业营业范围含有企业管理咨询、人力资源咨询服务；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5.在经营活动中没有重大违法记录；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（二）所需材料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营业执照（加盖鲜章）；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、被授权人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复印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件（加盖鲜章）；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法定代表人授权委托书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（法人签字盖鲜章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见附件1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4.竞争性比选采购承诺书（见附件2）；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基本情况及介绍；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相关资质复印件（加盖鲜章）；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报价单（加盖鲜章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见附件3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响应文件封装后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加盖公章。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highlight w:val="none"/>
        </w:rPr>
        <w:t>文件一式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highlight w:val="none"/>
        </w:rPr>
        <w:t>份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，无论是否中选，均不退还。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  <w:t>三、项目采购流程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邀请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根据《重庆两江新区人力资源开发服务中心有限公司预选库管理办法（试行）》的相关规定和要求，同时结合公司业务需求，拟在公司官网上发出采购公告（公告时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间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（1）会议时间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前提交所有文件资料。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召开采购会议。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（2）会议流程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协助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采购部门组建的评委小组，评委7人，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所提供的响应文件进行资质审核，并根据评分标准对投标单位进行评审，综合评分后，宣布候选成交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采购部门根据选定的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名单，完成公司规定的程序后，向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发出成交通知，并于成交通知书发出之日起3日内，与所选定的成交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签订书面合同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，开展进一步设计完善工作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1"/>
          <w:sz w:val="32"/>
          <w:szCs w:val="32"/>
          <w:lang w:val="en-US" w:eastAsia="zh-CN" w:bidi="ar-SA"/>
        </w:rPr>
        <w:t>四、评分标准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本次竞争性比选活动采用综合评分法进行评分，得分排名第一的报名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为中选单位，具体评分标准如下：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1"/>
        <w:tblW w:w="9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106"/>
        <w:gridCol w:w="441"/>
        <w:gridCol w:w="5608"/>
        <w:gridCol w:w="18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0"/>
                <w:szCs w:val="20"/>
                <w:lang w:bidi="ar"/>
              </w:rPr>
              <w:t>评分因素及权重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5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0"/>
                <w:szCs w:val="20"/>
                <w:lang w:bidi="ar"/>
              </w:rPr>
              <w:t>评分标准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经济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部分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40%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5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有效的投标报价中的最低总价为评标基准价，按照下列公式计算每个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的投标价格得分。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投标报价得分=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（评标基准价/投标报价）*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报价权重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  <w:t>技术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  <w:t>部分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  <w:t>50%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5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技术方案（40分）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根据针对本项目提供的项目实施方案情况酌情打分，方案不提供者不得分。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（1）完全理解本项目，对项目概况及特点描述准确详细,方案科学合理，体系完整，可操作性强的得31-40分；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（2）基本理解本项目，对项目概况及特点描述基本准确详细，方案基本合理可行，描述一般，可操作性一般的得16-30分；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（3）基本理解本项目，对项目概况及特点描述一般，方案一般，描述一般，可操作性较差的得1-15分；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（4）无项目概况描述、无服务工作内容及方案的该项不得分。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after="12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after="12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提供服务方案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5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2.实施团队（10分）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（1）项目经理1名：需有管理学或心理学等相关专业本科及以上学历，参与1个及以上人力资源管理咨询项目，全部满足得6分，一项条件不满足扣3分，6分扣完为止；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（2）项目咨询顾问2名：需有管理学或心理学等相关专业本科及以上学历，参与1个及以上人力资源管理咨询项目，全部满足得4分，一项条件不满足扣2分，4分扣完为止</w:t>
            </w:r>
            <w:r>
              <w:rPr>
                <w:rFonts w:hint="eastAsia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 w:val="0"/>
              <w:spacing w:after="12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提供证书复印件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5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商务部分10%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1.服务响应能力（10分）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bidi="ar"/>
              </w:rPr>
              <w:t>项目组承诺主要成员能在采购人工作地点提供驻场服务的得10分，不提供承诺的，不得分。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、评标办法定标原则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1.根据各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的最终综合得分，按从高到低的顺序进行排名，原则上得分最高的1家为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中选单位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2.若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中选单位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因其它原因未能与采购人签订合同，则可由第2名候选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替补，以此类推。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3.若评标过程中出现比选人串标、围标（如3家以上比选单位报价恶意哄抬报价），经评审小组认定后，则视为本次比选流标，由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重新组织比选。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特别注意：投标文件分正本一份，副本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份。正本须每页加盖公章，副本可为正本的复印件。正副本全部封入一个文件袋中，在文件袋上密封，加盖公章。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六、采购联系人及联系方式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/>
        </w:rPr>
        <w:t>刘晓思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联系电话：</w:t>
      </w:r>
      <w:r>
        <w:rPr>
          <w:rFonts w:hint="eastAsia" w:eastAsia="方正仿宋_GBK" w:cs="Times New Roman"/>
          <w:color w:val="auto"/>
          <w:kern w:val="1"/>
          <w:sz w:val="32"/>
          <w:szCs w:val="32"/>
          <w:highlight w:val="none"/>
          <w:u w:val="none"/>
          <w:lang w:val="en-US" w:eastAsia="zh-CN"/>
        </w:rPr>
        <w:t>13996055013</w:t>
      </w:r>
    </w:p>
    <w:p>
      <w:pPr>
        <w:widowControl w:val="0"/>
        <w:spacing w:after="12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highlight w:val="none"/>
          <w:u w:val="none"/>
          <w:lang w:val="en-US" w:eastAsia="zh-CN" w:bidi="ar-SA"/>
        </w:rPr>
        <w:t xml:space="preserve">    联系地址：重庆两江新区龙兴镇两江企业总部大厦2</w:t>
      </w:r>
      <w:r>
        <w:rPr>
          <w:rFonts w:hint="eastAsia" w:eastAsia="方正仿宋_GBK" w:cs="Times New Roman"/>
          <w:color w:val="auto"/>
          <w:kern w:val="1"/>
          <w:sz w:val="32"/>
          <w:szCs w:val="32"/>
          <w:highlight w:val="none"/>
          <w:u w:val="none"/>
          <w:lang w:val="en-US" w:eastAsia="zh-CN" w:bidi="ar-SA"/>
        </w:rPr>
        <w:t>06</w:t>
      </w:r>
    </w:p>
    <w:p>
      <w:pPr>
        <w:widowControl w:val="0"/>
        <w:spacing w:after="120" w:line="560" w:lineRule="atLeast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附件：1.法人代表授权书</w:t>
      </w:r>
    </w:p>
    <w:p>
      <w:pPr>
        <w:widowControl w:val="0"/>
        <w:spacing w:after="120" w:line="560" w:lineRule="atLeast"/>
        <w:ind w:left="1440" w:firstLine="320" w:firstLineChars="1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2.竞争性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采购承诺书</w:t>
      </w:r>
    </w:p>
    <w:p>
      <w:pPr>
        <w:widowControl w:val="0"/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       3.报价表</w:t>
      </w:r>
    </w:p>
    <w:p>
      <w:pPr>
        <w:rPr>
          <w:rFonts w:hint="default" w:ascii="Times New Roman" w:hAnsi="Times New Roman" w:eastAsia="方正黑体_GBK" w:cs="Times New Roman"/>
          <w:b/>
          <w:color w:val="auto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  <w:t>法定代表人授权委托书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（姓名）系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参选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机构名称）的法定代表人，现委托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（姓名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）为我方此次竞争性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的代理人，全权以我方名义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参加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/>
        </w:rPr>
        <w:t>两江新区人才发展集团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管理咨询项目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竞争性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采购事宜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我司均予承认，其法律后果由我司承担。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委托期限：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日 。 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代理人无转委托权。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法定代表人：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（签字）   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委托代理人：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（签字） 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供应商（专家团队）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公章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：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                     时间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日</w:t>
      </w:r>
    </w:p>
    <w:p>
      <w:pPr>
        <w:pStyle w:val="4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color w:val="auto"/>
          <w:szCs w:val="32"/>
        </w:rPr>
      </w:pPr>
    </w:p>
    <w:p>
      <w:pPr>
        <w:pStyle w:val="4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color w:val="auto"/>
          <w:szCs w:val="32"/>
        </w:rPr>
      </w:pPr>
    </w:p>
    <w:p>
      <w:pPr>
        <w:rPr>
          <w:rFonts w:hint="default" w:ascii="Times New Roman" w:hAnsi="Times New Roman" w:eastAsia="方正黑体_GBK" w:cs="Times New Roman"/>
          <w:b/>
          <w:color w:val="auto"/>
          <w:szCs w:val="32"/>
        </w:rPr>
      </w:pP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方正黑体_GBK" w:cs="Times New Roman"/>
          <w:b/>
          <w:color w:val="auto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方正黑体_GBK" w:cs="Times New Roman"/>
          <w:b/>
          <w:color w:val="auto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方正黑体_GBK" w:cs="Times New Roman"/>
          <w:b/>
          <w:color w:val="auto"/>
          <w:sz w:val="24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eastAsia="方正黑体_GBK" w:cs="Times New Roman"/>
          <w:b/>
          <w:color w:val="auto"/>
          <w:sz w:val="24"/>
          <w:szCs w:val="32"/>
          <w:lang w:val="en-US" w:eastAsia="zh-CN" w:bidi="ar-SA"/>
        </w:rPr>
      </w:pPr>
    </w:p>
    <w:p>
      <w:pPr>
        <w:pStyle w:val="4"/>
        <w:spacing w:before="0" w:after="0" w:line="600" w:lineRule="exact"/>
        <w:rPr>
          <w:rFonts w:hint="default" w:ascii="Times New Roman" w:hAnsi="Times New Roman" w:eastAsia="方正仿宋_GBK" w:cs="Times New Roman"/>
          <w:b w:val="0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1"/>
          <w:sz w:val="32"/>
          <w:szCs w:val="32"/>
          <w:lang w:val="en-US" w:eastAsia="zh-CN" w:bidi="ar-SA"/>
        </w:rPr>
        <w:t>附件2：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  <w:t>竞争性</w:t>
      </w:r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lang w:eastAsia="zh-CN"/>
        </w:rPr>
        <w:t>比选</w:t>
      </w:r>
      <w:r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</w:rPr>
        <w:t>采购承诺书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重庆两江新区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人才发展集团有限公司</w:t>
      </w:r>
    </w:p>
    <w:p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   我司已充分理解了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的竞争性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采购文件的相关事项，愿意参加本次竞争性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，在此慎重</w:t>
      </w:r>
      <w:bookmarkStart w:id="0" w:name="_GoBack"/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承诺：</w:t>
      </w:r>
    </w:p>
    <w:bookmarkEnd w:id="0"/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1.我司将本着诚实信用、公平竞争的原则参加本次竞争性</w:t>
      </w:r>
      <w:r>
        <w:rPr>
          <w:rFonts w:hint="eastAsia" w:ascii="Times New Roman" w:hAnsi="Times New Roman" w:eastAsia="方正仿宋_GBK" w:cs="Times New Roman"/>
          <w:color w:val="auto"/>
          <w:kern w:val="1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采购，绝不挂靠，绝不围标，绝不串通抬高价格。若采用欺骗手段骗取采购人委托事项，我司愿意承担在相关部门、机构作出不诚信、不良记录的后果。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2.我司报价是在已充分理解本次采购委托事项的工作内容后，在充分考虑工作条件和工作难度的情况下的全费用综合报价，我司承诺不再增加任何费用。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3.若我司为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中选单位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，我司将严格按照报送的方案设计组织实施委托事项。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4.若我司因正常原因未成交，我司承诺不对采购过程及结果提出任何异议和申诉，若因任何我司的疏忽和误解，由我司自行承担相应的责任。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5.我司承诺在中标后同意按采购方要求对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方案进行局部优化调整，并不向采购方收取合同价以外的费用。             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                     </w:t>
      </w:r>
    </w:p>
    <w:p>
      <w:pPr>
        <w:spacing w:line="500" w:lineRule="exact"/>
        <w:ind w:firstLine="3840" w:firstLineChars="1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</w:pPr>
    </w:p>
    <w:p>
      <w:pPr>
        <w:spacing w:line="50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参选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机构（公章）：                                          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      法定代表人或授权委托人签字：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日</w:t>
      </w:r>
    </w:p>
    <w:p>
      <w:pPr>
        <w:pStyle w:val="2"/>
        <w:rPr>
          <w:rFonts w:hint="default"/>
        </w:rPr>
      </w:pPr>
    </w:p>
    <w:p>
      <w:pPr>
        <w:pStyle w:val="4"/>
        <w:spacing w:before="0" w:after="0" w:line="600" w:lineRule="exact"/>
        <w:rPr>
          <w:rFonts w:hint="default" w:ascii="Times New Roman" w:hAnsi="Times New Roman" w:eastAsia="方正仿宋_GBK" w:cs="Times New Roman"/>
          <w:b w:val="0"/>
          <w:color w:val="auto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1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color w:val="auto"/>
          <w:kern w:val="1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color w:val="auto"/>
          <w:kern w:val="1"/>
          <w:sz w:val="32"/>
          <w:szCs w:val="32"/>
          <w:lang w:val="en-US" w:eastAsia="zh-CN" w:bidi="ar-SA"/>
        </w:rPr>
        <w:t>：</w:t>
      </w:r>
    </w:p>
    <w:p>
      <w:pPr>
        <w:spacing w:line="500" w:lineRule="exact"/>
        <w:jc w:val="center"/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1"/>
          <w:sz w:val="44"/>
          <w:szCs w:val="44"/>
          <w:lang w:eastAsia="zh-CN"/>
        </w:rPr>
        <w:t>报价表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866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86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86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50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</w:pPr>
    </w:p>
    <w:p>
      <w:pPr>
        <w:spacing w:line="50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</w:pPr>
    </w:p>
    <w:p>
      <w:pPr>
        <w:spacing w:line="50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</w:pPr>
    </w:p>
    <w:p>
      <w:pPr>
        <w:spacing w:line="50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/>
        </w:rPr>
        <w:t>参选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机构（公章）：                                          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</w:rPr>
        <w:t xml:space="preserve">       法定代表人或授权委托人签字：</w:t>
      </w:r>
    </w:p>
    <w:p>
      <w:pPr>
        <w:widowControl w:val="0"/>
        <w:spacing w:after="120"/>
        <w:jc w:val="both"/>
        <w:rPr>
          <w:rFonts w:hint="eastAsia" w:ascii="Calibri" w:hAnsi="Calibri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 xml:space="preserve">                      202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color w:val="auto"/>
          <w:kern w:val="1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1"/>
          <w:sz w:val="32"/>
          <w:szCs w:val="32"/>
          <w:lang w:val="en-US" w:eastAsia="zh-CN" w:bidi="ar-SA"/>
        </w:rPr>
        <w:t>月   日</w:t>
      </w: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40" w:lineRule="auto"/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3</w: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GI5ZGQyNjQwMzE3ZTA2YzYwMzg4ZDI2NGU3NmEifQ=="/>
  </w:docVars>
  <w:rsids>
    <w:rsidRoot w:val="00172A27"/>
    <w:rsid w:val="00037C14"/>
    <w:rsid w:val="00061E69"/>
    <w:rsid w:val="0006556D"/>
    <w:rsid w:val="000743AB"/>
    <w:rsid w:val="00082F46"/>
    <w:rsid w:val="00083031"/>
    <w:rsid w:val="00086A19"/>
    <w:rsid w:val="000B2FF8"/>
    <w:rsid w:val="000B4045"/>
    <w:rsid w:val="000B40F0"/>
    <w:rsid w:val="000B49E8"/>
    <w:rsid w:val="000D0866"/>
    <w:rsid w:val="000F515B"/>
    <w:rsid w:val="00102FE7"/>
    <w:rsid w:val="00106246"/>
    <w:rsid w:val="00134145"/>
    <w:rsid w:val="00140C47"/>
    <w:rsid w:val="00153DED"/>
    <w:rsid w:val="00161103"/>
    <w:rsid w:val="00177F6A"/>
    <w:rsid w:val="00184C8C"/>
    <w:rsid w:val="00196207"/>
    <w:rsid w:val="001A14FB"/>
    <w:rsid w:val="001A207B"/>
    <w:rsid w:val="001A5753"/>
    <w:rsid w:val="001B4C06"/>
    <w:rsid w:val="001E66EA"/>
    <w:rsid w:val="00204926"/>
    <w:rsid w:val="00216723"/>
    <w:rsid w:val="00220E3F"/>
    <w:rsid w:val="00244962"/>
    <w:rsid w:val="0024622C"/>
    <w:rsid w:val="00265E0E"/>
    <w:rsid w:val="0027692C"/>
    <w:rsid w:val="00276A87"/>
    <w:rsid w:val="002C0B0C"/>
    <w:rsid w:val="002C1057"/>
    <w:rsid w:val="002C7122"/>
    <w:rsid w:val="002C7FFE"/>
    <w:rsid w:val="002D402D"/>
    <w:rsid w:val="002F0FAB"/>
    <w:rsid w:val="00301FD5"/>
    <w:rsid w:val="0031107F"/>
    <w:rsid w:val="00313B36"/>
    <w:rsid w:val="00321564"/>
    <w:rsid w:val="00332937"/>
    <w:rsid w:val="00353B19"/>
    <w:rsid w:val="00362498"/>
    <w:rsid w:val="00392E9F"/>
    <w:rsid w:val="003A6898"/>
    <w:rsid w:val="003B1C06"/>
    <w:rsid w:val="003B6AFF"/>
    <w:rsid w:val="003F3545"/>
    <w:rsid w:val="00401E41"/>
    <w:rsid w:val="00403B82"/>
    <w:rsid w:val="00404EBB"/>
    <w:rsid w:val="00410FAF"/>
    <w:rsid w:val="00416575"/>
    <w:rsid w:val="00417E75"/>
    <w:rsid w:val="00427396"/>
    <w:rsid w:val="00436E5F"/>
    <w:rsid w:val="0045514F"/>
    <w:rsid w:val="004747F7"/>
    <w:rsid w:val="00483DBD"/>
    <w:rsid w:val="004A77C2"/>
    <w:rsid w:val="004C0E8A"/>
    <w:rsid w:val="004E4655"/>
    <w:rsid w:val="005118A6"/>
    <w:rsid w:val="00517329"/>
    <w:rsid w:val="00530C00"/>
    <w:rsid w:val="005329F2"/>
    <w:rsid w:val="00533F41"/>
    <w:rsid w:val="00536BFA"/>
    <w:rsid w:val="00536CBE"/>
    <w:rsid w:val="00537E85"/>
    <w:rsid w:val="00556869"/>
    <w:rsid w:val="005649D2"/>
    <w:rsid w:val="00581BD3"/>
    <w:rsid w:val="005C2719"/>
    <w:rsid w:val="005C3BA1"/>
    <w:rsid w:val="005C424C"/>
    <w:rsid w:val="005C4BCD"/>
    <w:rsid w:val="005D0702"/>
    <w:rsid w:val="005D3115"/>
    <w:rsid w:val="006043DD"/>
    <w:rsid w:val="00614EA6"/>
    <w:rsid w:val="00615B25"/>
    <w:rsid w:val="00621AAB"/>
    <w:rsid w:val="006242A4"/>
    <w:rsid w:val="0062559D"/>
    <w:rsid w:val="00632AFC"/>
    <w:rsid w:val="006402D2"/>
    <w:rsid w:val="00646171"/>
    <w:rsid w:val="00647B49"/>
    <w:rsid w:val="006939BC"/>
    <w:rsid w:val="00697BF1"/>
    <w:rsid w:val="006A0086"/>
    <w:rsid w:val="006A29A1"/>
    <w:rsid w:val="006B18EE"/>
    <w:rsid w:val="006D4B72"/>
    <w:rsid w:val="006E5498"/>
    <w:rsid w:val="006F3F83"/>
    <w:rsid w:val="006F4633"/>
    <w:rsid w:val="00700306"/>
    <w:rsid w:val="00726D5D"/>
    <w:rsid w:val="00730D15"/>
    <w:rsid w:val="0074518D"/>
    <w:rsid w:val="00747146"/>
    <w:rsid w:val="007512C5"/>
    <w:rsid w:val="00751309"/>
    <w:rsid w:val="00763BD8"/>
    <w:rsid w:val="00772373"/>
    <w:rsid w:val="00773B34"/>
    <w:rsid w:val="007919B8"/>
    <w:rsid w:val="00791F4A"/>
    <w:rsid w:val="007938C5"/>
    <w:rsid w:val="007A5C70"/>
    <w:rsid w:val="007B7471"/>
    <w:rsid w:val="007C022E"/>
    <w:rsid w:val="007D6456"/>
    <w:rsid w:val="007E02BB"/>
    <w:rsid w:val="007E0F46"/>
    <w:rsid w:val="007F2E65"/>
    <w:rsid w:val="008021C5"/>
    <w:rsid w:val="00805614"/>
    <w:rsid w:val="00806BEB"/>
    <w:rsid w:val="00812392"/>
    <w:rsid w:val="0085603A"/>
    <w:rsid w:val="00866036"/>
    <w:rsid w:val="00875E8A"/>
    <w:rsid w:val="00887DB4"/>
    <w:rsid w:val="00891617"/>
    <w:rsid w:val="0089591F"/>
    <w:rsid w:val="008D2D63"/>
    <w:rsid w:val="008E0635"/>
    <w:rsid w:val="008E1EBA"/>
    <w:rsid w:val="008F19DD"/>
    <w:rsid w:val="008F67F1"/>
    <w:rsid w:val="00901BF6"/>
    <w:rsid w:val="009049D8"/>
    <w:rsid w:val="00915ACC"/>
    <w:rsid w:val="00926307"/>
    <w:rsid w:val="00940AD0"/>
    <w:rsid w:val="009435D5"/>
    <w:rsid w:val="00951155"/>
    <w:rsid w:val="00960BBB"/>
    <w:rsid w:val="00964218"/>
    <w:rsid w:val="00977907"/>
    <w:rsid w:val="009A74DA"/>
    <w:rsid w:val="009C3F3B"/>
    <w:rsid w:val="009D566D"/>
    <w:rsid w:val="009D5A14"/>
    <w:rsid w:val="009D7E11"/>
    <w:rsid w:val="009E0BB7"/>
    <w:rsid w:val="009E289B"/>
    <w:rsid w:val="009E352E"/>
    <w:rsid w:val="00A0155A"/>
    <w:rsid w:val="00A05007"/>
    <w:rsid w:val="00A25FEB"/>
    <w:rsid w:val="00A4259B"/>
    <w:rsid w:val="00A61384"/>
    <w:rsid w:val="00A66E47"/>
    <w:rsid w:val="00A70333"/>
    <w:rsid w:val="00A711F2"/>
    <w:rsid w:val="00A72085"/>
    <w:rsid w:val="00A72CCF"/>
    <w:rsid w:val="00A72E5B"/>
    <w:rsid w:val="00A825F8"/>
    <w:rsid w:val="00A833AE"/>
    <w:rsid w:val="00A86AB4"/>
    <w:rsid w:val="00A86B08"/>
    <w:rsid w:val="00A86D6D"/>
    <w:rsid w:val="00AB3AD7"/>
    <w:rsid w:val="00AB5A02"/>
    <w:rsid w:val="00AC1E3F"/>
    <w:rsid w:val="00AC22CF"/>
    <w:rsid w:val="00AC6A0B"/>
    <w:rsid w:val="00AE39B3"/>
    <w:rsid w:val="00AE45BA"/>
    <w:rsid w:val="00B04D91"/>
    <w:rsid w:val="00B07B90"/>
    <w:rsid w:val="00B1385E"/>
    <w:rsid w:val="00B4626E"/>
    <w:rsid w:val="00B46FEE"/>
    <w:rsid w:val="00B53FCD"/>
    <w:rsid w:val="00B71601"/>
    <w:rsid w:val="00B7627D"/>
    <w:rsid w:val="00B95445"/>
    <w:rsid w:val="00BA7FEA"/>
    <w:rsid w:val="00BC285A"/>
    <w:rsid w:val="00BD73A2"/>
    <w:rsid w:val="00BE0753"/>
    <w:rsid w:val="00BE5FBA"/>
    <w:rsid w:val="00BE74F3"/>
    <w:rsid w:val="00C16B9B"/>
    <w:rsid w:val="00C2610D"/>
    <w:rsid w:val="00C32306"/>
    <w:rsid w:val="00C353DB"/>
    <w:rsid w:val="00C43EEF"/>
    <w:rsid w:val="00C54542"/>
    <w:rsid w:val="00C63506"/>
    <w:rsid w:val="00C65006"/>
    <w:rsid w:val="00C6762D"/>
    <w:rsid w:val="00C67FC9"/>
    <w:rsid w:val="00C85112"/>
    <w:rsid w:val="00C92A45"/>
    <w:rsid w:val="00C953D5"/>
    <w:rsid w:val="00C9673B"/>
    <w:rsid w:val="00CA6C22"/>
    <w:rsid w:val="00CB203D"/>
    <w:rsid w:val="00CB41D3"/>
    <w:rsid w:val="00CB6CC0"/>
    <w:rsid w:val="00CC7966"/>
    <w:rsid w:val="00CD123D"/>
    <w:rsid w:val="00CE0461"/>
    <w:rsid w:val="00CE0481"/>
    <w:rsid w:val="00CE2B59"/>
    <w:rsid w:val="00CF46E4"/>
    <w:rsid w:val="00CF58AB"/>
    <w:rsid w:val="00D0324E"/>
    <w:rsid w:val="00D11261"/>
    <w:rsid w:val="00D11C56"/>
    <w:rsid w:val="00D146AF"/>
    <w:rsid w:val="00D244EA"/>
    <w:rsid w:val="00D30DBC"/>
    <w:rsid w:val="00D61917"/>
    <w:rsid w:val="00D6611D"/>
    <w:rsid w:val="00D73CE0"/>
    <w:rsid w:val="00D91634"/>
    <w:rsid w:val="00D92624"/>
    <w:rsid w:val="00D94E5B"/>
    <w:rsid w:val="00DB657A"/>
    <w:rsid w:val="00DC154F"/>
    <w:rsid w:val="00DC1B53"/>
    <w:rsid w:val="00DE6893"/>
    <w:rsid w:val="00DF2F47"/>
    <w:rsid w:val="00E00279"/>
    <w:rsid w:val="00E0418F"/>
    <w:rsid w:val="00E12A7F"/>
    <w:rsid w:val="00E14C2A"/>
    <w:rsid w:val="00E3732B"/>
    <w:rsid w:val="00E4066E"/>
    <w:rsid w:val="00E468E9"/>
    <w:rsid w:val="00E54D6D"/>
    <w:rsid w:val="00E572BD"/>
    <w:rsid w:val="00E676FE"/>
    <w:rsid w:val="00E72CFC"/>
    <w:rsid w:val="00E94B0A"/>
    <w:rsid w:val="00EA2013"/>
    <w:rsid w:val="00EA756C"/>
    <w:rsid w:val="00EE09FA"/>
    <w:rsid w:val="00EE3D1D"/>
    <w:rsid w:val="00EE42E4"/>
    <w:rsid w:val="00EF6A1B"/>
    <w:rsid w:val="00EF73B2"/>
    <w:rsid w:val="00F2241E"/>
    <w:rsid w:val="00F239AC"/>
    <w:rsid w:val="00F27268"/>
    <w:rsid w:val="00F27570"/>
    <w:rsid w:val="00F348DA"/>
    <w:rsid w:val="00F36DF2"/>
    <w:rsid w:val="00F53E19"/>
    <w:rsid w:val="00F54DF8"/>
    <w:rsid w:val="00F6668B"/>
    <w:rsid w:val="00F80C4D"/>
    <w:rsid w:val="00F82592"/>
    <w:rsid w:val="00F93802"/>
    <w:rsid w:val="00FA2A8E"/>
    <w:rsid w:val="00FA5503"/>
    <w:rsid w:val="00FB576A"/>
    <w:rsid w:val="00FC066F"/>
    <w:rsid w:val="00FC6AEB"/>
    <w:rsid w:val="00FD0D1A"/>
    <w:rsid w:val="00FE3E13"/>
    <w:rsid w:val="00FF45D4"/>
    <w:rsid w:val="00FF5BA1"/>
    <w:rsid w:val="017D233E"/>
    <w:rsid w:val="01BA2FE0"/>
    <w:rsid w:val="032D10C7"/>
    <w:rsid w:val="03490639"/>
    <w:rsid w:val="03E5503B"/>
    <w:rsid w:val="051C718E"/>
    <w:rsid w:val="056E75D2"/>
    <w:rsid w:val="06700194"/>
    <w:rsid w:val="069931FD"/>
    <w:rsid w:val="06B61C3C"/>
    <w:rsid w:val="06EA68AC"/>
    <w:rsid w:val="0779429F"/>
    <w:rsid w:val="082223BA"/>
    <w:rsid w:val="09531FDA"/>
    <w:rsid w:val="097C081C"/>
    <w:rsid w:val="0A49477F"/>
    <w:rsid w:val="0ACC57C7"/>
    <w:rsid w:val="0B073AE9"/>
    <w:rsid w:val="0BE02F0F"/>
    <w:rsid w:val="0D020A0B"/>
    <w:rsid w:val="0D6F1F11"/>
    <w:rsid w:val="0E073004"/>
    <w:rsid w:val="0EFE5656"/>
    <w:rsid w:val="101271B8"/>
    <w:rsid w:val="10562895"/>
    <w:rsid w:val="11114A54"/>
    <w:rsid w:val="11603998"/>
    <w:rsid w:val="1365423C"/>
    <w:rsid w:val="1367781A"/>
    <w:rsid w:val="136B6FEA"/>
    <w:rsid w:val="147419FC"/>
    <w:rsid w:val="14991417"/>
    <w:rsid w:val="174F6F43"/>
    <w:rsid w:val="1847604B"/>
    <w:rsid w:val="19374F1A"/>
    <w:rsid w:val="1A6A492C"/>
    <w:rsid w:val="1B1F5EF2"/>
    <w:rsid w:val="1D0B5A64"/>
    <w:rsid w:val="1DA769B6"/>
    <w:rsid w:val="1E2B4D4E"/>
    <w:rsid w:val="1FEA5E0F"/>
    <w:rsid w:val="205D622D"/>
    <w:rsid w:val="20E379AE"/>
    <w:rsid w:val="214717C0"/>
    <w:rsid w:val="21992069"/>
    <w:rsid w:val="230E27BC"/>
    <w:rsid w:val="243556F1"/>
    <w:rsid w:val="254151C1"/>
    <w:rsid w:val="25C27E3D"/>
    <w:rsid w:val="26DB2B11"/>
    <w:rsid w:val="27695755"/>
    <w:rsid w:val="27D43F04"/>
    <w:rsid w:val="2B3D7C06"/>
    <w:rsid w:val="2BCC2FE2"/>
    <w:rsid w:val="2C112457"/>
    <w:rsid w:val="2F996B56"/>
    <w:rsid w:val="32746909"/>
    <w:rsid w:val="33E75CBA"/>
    <w:rsid w:val="33F1120B"/>
    <w:rsid w:val="34196508"/>
    <w:rsid w:val="36415851"/>
    <w:rsid w:val="36607E44"/>
    <w:rsid w:val="36CA03D1"/>
    <w:rsid w:val="37E531F8"/>
    <w:rsid w:val="37FA1877"/>
    <w:rsid w:val="3883635B"/>
    <w:rsid w:val="392D3D38"/>
    <w:rsid w:val="39AC70D7"/>
    <w:rsid w:val="39B5458C"/>
    <w:rsid w:val="3A80474D"/>
    <w:rsid w:val="3AB23981"/>
    <w:rsid w:val="3C0B1C6F"/>
    <w:rsid w:val="3C3519B4"/>
    <w:rsid w:val="3C41188B"/>
    <w:rsid w:val="3DC729DF"/>
    <w:rsid w:val="3DEE3593"/>
    <w:rsid w:val="3F507DB9"/>
    <w:rsid w:val="3F51759F"/>
    <w:rsid w:val="42FE0D52"/>
    <w:rsid w:val="433C1F84"/>
    <w:rsid w:val="43C401ED"/>
    <w:rsid w:val="446E529E"/>
    <w:rsid w:val="473E2065"/>
    <w:rsid w:val="4959068D"/>
    <w:rsid w:val="4968161B"/>
    <w:rsid w:val="49E1317B"/>
    <w:rsid w:val="4B2F45D9"/>
    <w:rsid w:val="4B566B0E"/>
    <w:rsid w:val="4CC930CE"/>
    <w:rsid w:val="4E4F2B54"/>
    <w:rsid w:val="4E960934"/>
    <w:rsid w:val="4F871C13"/>
    <w:rsid w:val="51FE60B3"/>
    <w:rsid w:val="529A2789"/>
    <w:rsid w:val="53000B16"/>
    <w:rsid w:val="53762B86"/>
    <w:rsid w:val="54315ED8"/>
    <w:rsid w:val="553920BD"/>
    <w:rsid w:val="55B62655"/>
    <w:rsid w:val="5646637C"/>
    <w:rsid w:val="57D52ACF"/>
    <w:rsid w:val="5AE92467"/>
    <w:rsid w:val="5B0A70D2"/>
    <w:rsid w:val="5BD42B40"/>
    <w:rsid w:val="5DAA67FF"/>
    <w:rsid w:val="5E84084D"/>
    <w:rsid w:val="5ED52E57"/>
    <w:rsid w:val="5F1B5B1A"/>
    <w:rsid w:val="602D0A71"/>
    <w:rsid w:val="60667178"/>
    <w:rsid w:val="626F5370"/>
    <w:rsid w:val="64D33F5A"/>
    <w:rsid w:val="650E0E71"/>
    <w:rsid w:val="662D5A58"/>
    <w:rsid w:val="66C9217C"/>
    <w:rsid w:val="689E0E11"/>
    <w:rsid w:val="69037C06"/>
    <w:rsid w:val="6978455B"/>
    <w:rsid w:val="6A2A0A3B"/>
    <w:rsid w:val="6A881020"/>
    <w:rsid w:val="6B2B5C19"/>
    <w:rsid w:val="6C327BF7"/>
    <w:rsid w:val="6D237483"/>
    <w:rsid w:val="6E3B626A"/>
    <w:rsid w:val="6FAC6EC9"/>
    <w:rsid w:val="70D134A4"/>
    <w:rsid w:val="717F6CEA"/>
    <w:rsid w:val="72242689"/>
    <w:rsid w:val="729A13FC"/>
    <w:rsid w:val="73075151"/>
    <w:rsid w:val="735706EB"/>
    <w:rsid w:val="755F32FC"/>
    <w:rsid w:val="764346F2"/>
    <w:rsid w:val="77244054"/>
    <w:rsid w:val="78C0027C"/>
    <w:rsid w:val="78CB4B3A"/>
    <w:rsid w:val="791D23D3"/>
    <w:rsid w:val="797D0743"/>
    <w:rsid w:val="7C564EBF"/>
    <w:rsid w:val="7C9D17FB"/>
    <w:rsid w:val="7E1370A0"/>
    <w:rsid w:val="7EB07E45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Cs w:val="20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Emphasis"/>
    <w:basedOn w:val="13"/>
    <w:qFormat/>
    <w:uiPriority w:val="0"/>
    <w:rPr>
      <w:i/>
      <w:iCs/>
    </w:rPr>
  </w:style>
  <w:style w:type="character" w:customStyle="1" w:styleId="17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页眉 Char"/>
    <w:basedOn w:val="13"/>
    <w:link w:val="9"/>
    <w:qFormat/>
    <w:uiPriority w:val="0"/>
    <w:rPr>
      <w:rFonts w:ascii="Calibri" w:hAnsi="Calibri"/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rFonts w:ascii="Calibri" w:hAnsi="Calibri"/>
      <w:sz w:val="18"/>
      <w:szCs w:val="18"/>
    </w:rPr>
  </w:style>
  <w:style w:type="character" w:customStyle="1" w:styleId="20">
    <w:name w:val="NormalCharacter"/>
    <w:qFormat/>
    <w:uiPriority w:val="0"/>
  </w:style>
  <w:style w:type="paragraph" w:customStyle="1" w:styleId="21">
    <w:name w:val="样式1"/>
    <w:basedOn w:val="1"/>
    <w:next w:val="1"/>
    <w:qFormat/>
    <w:uiPriority w:val="0"/>
  </w:style>
  <w:style w:type="paragraph" w:customStyle="1" w:styleId="22">
    <w:name w:val="样式2"/>
    <w:basedOn w:val="1"/>
    <w:next w:val="1"/>
    <w:qFormat/>
    <w:uiPriority w:val="0"/>
    <w:rPr>
      <w:b/>
      <w:bCs/>
    </w:rPr>
  </w:style>
  <w:style w:type="paragraph" w:customStyle="1" w:styleId="23">
    <w:name w:val="样式3"/>
    <w:basedOn w:val="24"/>
    <w:next w:val="1"/>
    <w:qFormat/>
    <w:uiPriority w:val="0"/>
    <w:pPr>
      <w:ind w:firstLine="640"/>
    </w:p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标题 4 Char"/>
    <w:basedOn w:val="13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批注框文本 Char"/>
    <w:basedOn w:val="13"/>
    <w:link w:val="7"/>
    <w:qFormat/>
    <w:uiPriority w:val="0"/>
    <w:rPr>
      <w:rFonts w:ascii="Calibri" w:hAnsi="Calibri"/>
      <w:sz w:val="18"/>
      <w:szCs w:val="18"/>
    </w:rPr>
  </w:style>
  <w:style w:type="character" w:customStyle="1" w:styleId="27">
    <w:name w:val="标题 3 Char"/>
    <w:basedOn w:val="13"/>
    <w:link w:val="5"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1 Char"/>
    <w:basedOn w:val="13"/>
    <w:link w:val="3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2487</Words>
  <Characters>2578</Characters>
  <Lines>9</Lines>
  <Paragraphs>2</Paragraphs>
  <TotalTime>3</TotalTime>
  <ScaleCrop>false</ScaleCrop>
  <LinksUpToDate>false</LinksUpToDate>
  <CharactersWithSpaces>2928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2021-03-13T05:30:00Z</dcterms:created>
  <dc:creator>刘子维</dc:creator>
  <cp:lastModifiedBy>人才培训部</cp:lastModifiedBy>
  <cp:lastPrinted>2022-03-04T06:08:00Z</cp:lastPrinted>
  <dcterms:modified xsi:type="dcterms:W3CDTF">2023-07-25T06:39:58Z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522610582_btnclosed</vt:lpwstr>
  </property>
  <property fmtid="{D5CDD505-2E9C-101B-9397-08002B2CF9AE}" pid="3" name="KSOProductBuildVer">
    <vt:lpwstr>2052-12.1.0.15120</vt:lpwstr>
  </property>
  <property fmtid="{D5CDD505-2E9C-101B-9397-08002B2CF9AE}" pid="4" name="ICV">
    <vt:lpwstr>71ABC138B64E428894BE8D35A1F5652F</vt:lpwstr>
  </property>
</Properties>
</file>